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0"/>
        </w:rPr>
        <w:t>Software Performance Testing</w:t>
      </w:r>
    </w:p>
    <w:p>
      <w:r>
        <w:rPr>
          <w:color w:val="55616E"/>
          <w:sz w:val="40"/>
        </w:rPr>
        <w:t>Request for Proposal</w:t>
      </w:r>
    </w:p>
    <w:p>
      <w:r>
        <w:rPr>
          <w:b/>
        </w:rPr>
        <w:t xml:space="preserve">Send this to every vendor unchanged. </w:t>
      </w:r>
      <w:r>
        <w:t>A comparable answer from all of them is worth more than a long capabilities deck from one, and the only way to get comparable answers is to ask the identical question. Delete nothing except what genuinely does not apply.</w:t>
      </w:r>
    </w:p>
    <w:p>
      <w:r>
        <w:t>Company: _________________________    Date: _____________    Response due: _____________</w:t>
      </w:r>
    </w:p>
    <w:p>
      <w:pPr>
        <w:pStyle w:val="Heading2"/>
      </w:pPr>
      <w:r>
        <w:t>1. Project and system context</w:t>
      </w:r>
    </w:p>
    <w:p>
      <w:pPr>
        <w:pStyle w:val="ListBullet"/>
      </w:pPr>
      <w:r>
        <w:t>What the system does, who uses it and what a bad day looks like commercially.</w:t>
      </w:r>
    </w:p>
    <w:p>
      <w:pPr>
        <w:pStyle w:val="ListBullet"/>
      </w:pPr>
      <w:r>
        <w:t>Architecture in one paragraph: components, third-party dependencies, data stores.</w:t>
      </w:r>
    </w:p>
    <w:p>
      <w:pPr>
        <w:pStyle w:val="ListBullet"/>
      </w:pPr>
      <w:r>
        <w:t>The date or event this work has to be finished before, and why that date is fixed.</w:t>
      </w:r>
    </w:p>
    <w:p>
      <w:pPr>
        <w:pStyle w:val="ListBullet"/>
      </w:pPr>
      <w:r>
        <w:t>Who owns the decision, and who has to approve the spend.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2. Protocols and critical user journeys</w:t>
      </w:r>
    </w:p>
    <w:p>
      <w:pPr>
        <w:pStyle w:val="ListBullet"/>
      </w:pPr>
      <w:r>
        <w:t>Protocols in scope: HTTP/S, gRPC, WebSocket, JMS or MQ, database, packaged-application protocols.</w:t>
      </w:r>
    </w:p>
    <w:p>
      <w:pPr>
        <w:pStyle w:val="ListBullet"/>
      </w:pPr>
      <w:r>
        <w:t>The five to ten journeys that carry the business, with the share of traffic each represents.</w:t>
      </w:r>
    </w:p>
    <w:p>
      <w:pPr>
        <w:pStyle w:val="ListBullet"/>
      </w:pPr>
      <w:r>
        <w:t>Journeys explicitly out of scope, so nobody prices them.</w:t>
      </w:r>
    </w:p>
    <w:p>
      <w:pPr>
        <w:pStyle w:val="ListBullet"/>
      </w:pPr>
      <w:r>
        <w:t>Authentication and any journey that cannot be replayed for legal or data reasons.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3. Target workload and production traffic model</w:t>
      </w:r>
    </w:p>
    <w:p>
      <w:pPr>
        <w:pStyle w:val="ListBullet"/>
      </w:pPr>
      <w:r>
        <w:t>Peak concurrent users or requests per second, and how that figure was derived.</w:t>
      </w:r>
    </w:p>
    <w:p>
      <w:pPr>
        <w:pStyle w:val="ListBullet"/>
      </w:pPr>
      <w:r>
        <w:t>Ramp profile, steady-state duration and think times.</w:t>
      </w:r>
    </w:p>
    <w:p>
      <w:pPr>
        <w:pStyle w:val="ListBullet"/>
      </w:pPr>
      <w:r>
        <w:t>Geographic distribution of load, if it matters.</w:t>
      </w:r>
    </w:p>
    <w:p>
      <w:pPr>
        <w:pStyle w:val="ListBullet"/>
      </w:pPr>
      <w:r>
        <w:t>Where the production numbers come from: APM, access logs, or an estimate. Say which.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4. Performance acceptance criteria</w:t>
      </w:r>
    </w:p>
    <w:p>
      <w:pPr>
        <w:pStyle w:val="ListBullet"/>
      </w:pPr>
      <w:r>
        <w:t>Response-time thresholds per journey, stated as a percentile, not an average.</w:t>
      </w:r>
    </w:p>
    <w:p>
      <w:pPr>
        <w:pStyle w:val="ListBullet"/>
      </w:pPr>
      <w:r>
        <w:t>Error-rate budget and what counts as an error.</w:t>
      </w:r>
    </w:p>
    <w:p>
      <w:pPr>
        <w:pStyle w:val="ListBullet"/>
      </w:pPr>
      <w:r>
        <w:t>Resource ceilings on the system under test, if any.</w:t>
      </w:r>
    </w:p>
    <w:p>
      <w:pPr>
        <w:pStyle w:val="ListBullet"/>
      </w:pPr>
      <w:r>
        <w:t>The pass and fail logic, in writing, agreed before the first run.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5. Test environment and data responsibilities</w:t>
      </w:r>
    </w:p>
    <w:p>
      <w:pPr>
        <w:pStyle w:val="ListBullet"/>
      </w:pPr>
      <w:r>
        <w:t>Which environment will be used and how it differs from production, honestly.</w:t>
      </w:r>
    </w:p>
    <w:p>
      <w:pPr>
        <w:pStyle w:val="ListBullet"/>
      </w:pPr>
      <w:r>
        <w:t>Who provisions it, who pays for it, and who may restart it.</w:t>
      </w:r>
    </w:p>
    <w:p>
      <w:pPr>
        <w:pStyle w:val="ListBullet"/>
      </w:pPr>
      <w:r>
        <w:t>Test data: volume, generation, refresh and masking. Name the owner of each.</w:t>
      </w:r>
    </w:p>
    <w:p>
      <w:pPr>
        <w:pStyle w:val="ListBullet"/>
      </w:pPr>
      <w:r>
        <w:t>Access and credentials the vendor needs, and the lead time to obtain them.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6. Access, monitoring and environment prerequisites</w:t>
      </w:r>
    </w:p>
    <w:p>
      <w:pPr>
        <w:pStyle w:val="ListBullet"/>
      </w:pPr>
      <w:r>
        <w:t>Monitoring already in place, and read access the vendor will be granted.</w:t>
      </w:r>
    </w:p>
    <w:p>
      <w:pPr>
        <w:pStyle w:val="ListBullet"/>
      </w:pPr>
      <w:r>
        <w:t>What must be instrumented before testing starts, and who does it.</w:t>
      </w:r>
    </w:p>
    <w:p>
      <w:pPr>
        <w:pStyle w:val="ListBullet"/>
      </w:pPr>
      <w:r>
        <w:t>Remote access route, and whether vendor IP addresses must be whitelisted.</w:t>
      </w:r>
    </w:p>
    <w:p>
      <w:pPr>
        <w:pStyle w:val="ListBullet"/>
      </w:pPr>
      <w:r>
        <w:t>Whether rate throttling and captcha will be disabled for the test window, and who authorises that.</w:t>
      </w:r>
    </w:p>
    <w:p>
      <w:pPr>
        <w:pStyle w:val="ListBullet"/>
      </w:pPr>
      <w:r>
        <w:t>Alternative: load generators placed inside your perimeter instead of running from the internet.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7. Security attestation and questionnaire</w:t>
      </w:r>
    </w:p>
    <w:p>
      <w:pPr>
        <w:pStyle w:val="ListBullet"/>
      </w:pPr>
      <w:r>
        <w:t>Current SOC 2 Type II report or ISO 27001 certificate, supplied under NDA before the SOW is signed.</w:t>
      </w:r>
    </w:p>
    <w:p>
      <w:pPr>
        <w:pStyle w:val="ListBullet"/>
      </w:pPr>
      <w:r>
        <w:t>Most recent third-party penetration test report for the vendor's own platform.</w:t>
      </w:r>
    </w:p>
    <w:p>
      <w:pPr>
        <w:pStyle w:val="ListBullet"/>
      </w:pPr>
      <w:r>
        <w:t>Completed security questionnaire. Send yours with the RFP rather than after selection.</w:t>
      </w:r>
    </w:p>
    <w:p>
      <w:pPr>
        <w:pStyle w:val="ListBullet"/>
      </w:pPr>
      <w:r>
        <w:t>Written information security programme, and encryption in transit and at rest.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8. Insurance</w:t>
      </w:r>
    </w:p>
    <w:p>
      <w:pPr>
        <w:pStyle w:val="ListBullet"/>
      </w:pPr>
      <w:r>
        <w:t>Certificate of insurance naming your entity as certificate holder.</w:t>
      </w:r>
    </w:p>
    <w:p>
      <w:pPr>
        <w:pStyle w:val="ListBullet"/>
      </w:pPr>
      <w:r>
        <w:t>Cyber liability specifically: cyber crime and liability, network and information security liability, regulatory defence expenses. This is the coverage vendors most often lack.</w:t>
      </w:r>
    </w:p>
    <w:p>
      <w:pPr>
        <w:pStyle w:val="ListBullet"/>
      </w:pPr>
      <w:r>
        <w:t>Commercial general liability, employer's liability, excess or umbrella, professional liability, with the minimums your contract requires.</w:t>
      </w:r>
    </w:p>
    <w:p>
      <w:pPr>
        <w:pStyle w:val="ListBullet"/>
      </w:pPr>
      <w:r>
        <w:t>Waiver of subrogation and additional insured endorsements where your contract requires them.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9. Personnel, screening and delivery location</w:t>
      </w:r>
    </w:p>
    <w:p>
      <w:pPr>
        <w:pStyle w:val="ListBullet"/>
      </w:pPr>
      <w:r>
        <w:t>Named individuals who will access your systems, with role and allocation.</w:t>
      </w:r>
    </w:p>
    <w:p>
      <w:pPr>
        <w:pStyle w:val="ListBullet"/>
      </w:pPr>
      <w:r>
        <w:t>Background screening per person, to the category your policy requires.</w:t>
      </w:r>
    </w:p>
    <w:p>
      <w:pPr>
        <w:pStyle w:val="ListBullet"/>
      </w:pPr>
      <w:r>
        <w:t>Countries each individual has previously worked in, if screening must cover them.</w:t>
      </w:r>
    </w:p>
    <w:p>
      <w:pPr>
        <w:pStyle w:val="ListBullet"/>
      </w:pPr>
      <w:r>
        <w:t>Whether every person is physically located in your required jurisdiction, and whether any access will originate from outside it.</w:t>
      </w:r>
    </w:p>
    <w:p>
      <w:pPr>
        <w:pStyle w:val="ListBullet"/>
      </w:pPr>
      <w:r>
        <w:t>What happens if an individual declines screening.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10. Data handling, breach and destruction</w:t>
      </w:r>
    </w:p>
    <w:p>
      <w:pPr>
        <w:pStyle w:val="ListBullet"/>
      </w:pPr>
      <w:r>
        <w:t>Whether production data will be used, and how it will be masked or synthesised if so.</w:t>
      </w:r>
    </w:p>
    <w:p>
      <w:pPr>
        <w:pStyle w:val="ListBullet"/>
      </w:pPr>
      <w:r>
        <w:t>Where data is stored and processed for each deployment option offered.</w:t>
      </w:r>
    </w:p>
    <w:p>
      <w:pPr>
        <w:pStyle w:val="ListBullet"/>
      </w:pPr>
      <w:r>
        <w:t>Breach notification window, stated in hours, written into the agreement.</w:t>
      </w:r>
    </w:p>
    <w:p>
      <w:pPr>
        <w:pStyle w:val="ListBullet"/>
      </w:pPr>
      <w:r>
        <w:t>Return or destruction of data on termination, in how many days, and whether certified in writing.</w:t>
      </w:r>
    </w:p>
    <w:p>
      <w:pPr>
        <w:pStyle w:val="ListBullet"/>
      </w:pPr>
      <w:r>
        <w:t>Current subprocessor list, advance notice of changes, and your right to object.</w:t>
      </w:r>
    </w:p>
    <w:p>
      <w:pPr>
        <w:pStyle w:val="ListBullet"/>
      </w:pPr>
      <w:r>
        <w:t>Audit rights, including on-site rights following an incident.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11. Deliverables and bottleneck diagnosis</w:t>
      </w:r>
    </w:p>
    <w:p>
      <w:pPr>
        <w:pStyle w:val="ListBullet"/>
      </w:pPr>
      <w:r>
        <w:t>Reports expected, their format, and who they will be shown to.</w:t>
      </w:r>
    </w:p>
    <w:p>
      <w:pPr>
        <w:pStyle w:val="ListBullet"/>
      </w:pPr>
      <w:r>
        <w:t>Whether the vendor is expected to name the bottleneck or only report that one exists.</w:t>
      </w:r>
    </w:p>
    <w:p>
      <w:pPr>
        <w:pStyle w:val="ListBullet"/>
      </w:pPr>
      <w:r>
        <w:t>Remediation support: advice only, or hands-on work.</w:t>
      </w:r>
    </w:p>
    <w:p>
      <w:pPr>
        <w:pStyle w:val="ListBullet"/>
      </w:pPr>
      <w:r>
        <w:t>Ownership of scripts and results after the engagement ends, and for how long they are kept.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12. Retest and remediation terms</w:t>
      </w:r>
    </w:p>
    <w:p>
      <w:pPr>
        <w:pStyle w:val="ListBullet"/>
      </w:pPr>
      <w:r>
        <w:t>How many retests are included and what triggers one.</w:t>
      </w:r>
    </w:p>
    <w:p>
      <w:pPr>
        <w:pStyle w:val="ListBullet"/>
      </w:pPr>
      <w:r>
        <w:t>Turnaround time for a retest after a fix.</w:t>
      </w:r>
    </w:p>
    <w:p>
      <w:pPr>
        <w:pStyle w:val="ListBullet"/>
      </w:pPr>
      <w:r>
        <w:t>What the vendor charges for a re-run once the engagement is closed.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13. Commercial response</w:t>
      </w:r>
    </w:p>
    <w:p>
      <w:pPr>
        <w:pStyle w:val="ListBullet"/>
      </w:pPr>
      <w:r>
        <w:t>Price for the scope above, with the pricing unit stated explicitly.</w:t>
      </w:r>
    </w:p>
    <w:p>
      <w:pPr>
        <w:pStyle w:val="ListBullet"/>
      </w:pPr>
      <w:r>
        <w:t>What is excluded from that price.</w:t>
      </w:r>
    </w:p>
    <w:p>
      <w:pPr>
        <w:pStyle w:val="ListBullet"/>
      </w:pPr>
      <w:r>
        <w:t>Assumptions the price depends on, and what happens to the price if each fails.</w:t>
      </w:r>
    </w:p>
    <w:p>
      <w:pPr>
        <w:pStyle w:val="ListBullet"/>
      </w:pPr>
      <w:r>
        <w:t>Payment schedule and cancellation terms.</w:t>
      </w:r>
    </w:p>
    <w:p>
      <w:r>
        <w:rPr>
          <w:b/>
        </w:rPr>
        <w:t>Response: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pStyle w:val="Heading2"/>
      </w:pPr>
      <w:r>
        <w:t>14. Vendor evaluation</w:t>
      </w:r>
    </w:p>
    <w:p>
      <w:r>
        <w:t>Score each response against the criteria in the accompanying scorecard. Agree the weights before you read the first response, not after.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Criterion</w:t>
            </w:r>
          </w:p>
        </w:tc>
        <w:tc>
          <w:tcPr>
            <w:tcW w:type="dxa" w:w="4320"/>
          </w:tcPr>
          <w:p>
            <w:r>
              <w:t>Weight (%)</w:t>
            </w:r>
          </w:p>
        </w:tc>
      </w:tr>
      <w:tr>
        <w:tc>
          <w:tcPr>
            <w:tcW w:type="dxa" w:w="4320"/>
          </w:tcPr>
          <w:p>
            <w:r>
              <w:t>Security attestation and questionnaire returned</w:t>
            </w:r>
          </w:p>
        </w:tc>
        <w:tc>
          <w:tcPr>
            <w:tcW w:type="dxa" w:w="4320"/>
          </w:tcPr>
          <w:p>
            <w:r>
              <w:t>15</w:t>
            </w:r>
          </w:p>
        </w:tc>
      </w:tr>
      <w:tr>
        <w:tc>
          <w:tcPr>
            <w:tcW w:type="dxa" w:w="4320"/>
          </w:tcPr>
          <w:p>
            <w:r>
              <w:t>Cyber liability and insurance schedule met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Personnel screening and delivery location</w:t>
            </w:r>
          </w:p>
        </w:tc>
        <w:tc>
          <w:tcPr>
            <w:tcW w:type="dxa" w:w="4320"/>
          </w:tcPr>
          <w:p>
            <w:r>
              <w:t>15</w:t>
            </w:r>
          </w:p>
        </w:tc>
      </w:tr>
      <w:tr>
        <w:tc>
          <w:tcPr>
            <w:tcW w:type="dxa" w:w="4320"/>
          </w:tcPr>
          <w:p>
            <w:r>
              <w:t>Data handling, breach window and destruction terms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Comparable case on a similar system</w:t>
            </w:r>
          </w:p>
        </w:tc>
        <w:tc>
          <w:tcPr>
            <w:tcW w:type="dxa" w:w="4320"/>
          </w:tcPr>
          <w:p>
            <w:r>
              <w:t>15</w:t>
            </w:r>
          </w:p>
        </w:tc>
      </w:tr>
      <w:tr>
        <w:tc>
          <w:tcPr>
            <w:tcW w:type="dxa" w:w="4320"/>
          </w:tcPr>
          <w:p>
            <w:r>
              <w:t>Named lead engineer and allocation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Workload model and diagnosis depth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Commercial clarity and price signal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What you keep afterwards: scripts, results, re-runs</w:t>
            </w:r>
          </w:p>
        </w:tc>
        <w:tc>
          <w:tcPr>
            <w:tcW w:type="dxa" w:w="4320"/>
          </w:tcPr>
          <w:p>
            <w:r>
              <w:t>5</w:t>
            </w:r>
          </w:p>
        </w:tc>
      </w:tr>
    </w:tbl>
    <w:p>
      <w:pPr>
        <w:jc w:val="left"/>
      </w:pPr>
      <w:r>
        <w:rPr>
          <w:color w:val="7B8794"/>
          <w:sz w:val="16"/>
        </w:rPr>
        <w:br/>
        <w:t>This template is vendor-neutral and free to reuse. Published by PFLB alongside the comparison at https://pflb.us/blog/best-performance-testing-companies/. PFLB is one of the companies compared there and expects to be held to this document like anyone else.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